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F" w:rsidRPr="000557F1" w:rsidRDefault="00961E89" w:rsidP="000557F1">
      <w:pPr>
        <w:spacing w:after="0" w:line="240" w:lineRule="auto"/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>Decorate with West Fork Style</w:t>
      </w:r>
    </w:p>
    <w:p w:rsidR="000557F1" w:rsidRPr="00BC5CCA" w:rsidRDefault="00B43C71" w:rsidP="000557F1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BC5CCA">
        <w:rPr>
          <w:rFonts w:ascii="Papyrus" w:hAnsi="Papyrus"/>
          <w:sz w:val="28"/>
          <w:szCs w:val="28"/>
        </w:rPr>
        <w:t xml:space="preserve">Here are two great options for decorating your tree </w:t>
      </w:r>
      <w:r w:rsidR="000557F1" w:rsidRPr="00BC5CCA">
        <w:rPr>
          <w:rFonts w:ascii="Papyrus" w:hAnsi="Papyrus"/>
          <w:sz w:val="28"/>
          <w:szCs w:val="28"/>
        </w:rPr>
        <w:t>and</w:t>
      </w:r>
      <w:r w:rsidRPr="00BC5CCA">
        <w:rPr>
          <w:rFonts w:ascii="Papyrus" w:hAnsi="Papyrus"/>
          <w:sz w:val="28"/>
          <w:szCs w:val="28"/>
        </w:rPr>
        <w:t xml:space="preserve"> showing your West Fork pride</w:t>
      </w:r>
      <w:r w:rsidR="00961E89">
        <w:rPr>
          <w:rFonts w:ascii="Papyrus" w:hAnsi="Papyrus"/>
          <w:sz w:val="28"/>
          <w:szCs w:val="28"/>
        </w:rPr>
        <w:t>.</w:t>
      </w:r>
      <w:r w:rsidRPr="00BC5CCA">
        <w:rPr>
          <w:rFonts w:ascii="Papyrus" w:hAnsi="Papyrus"/>
          <w:sz w:val="28"/>
          <w:szCs w:val="28"/>
        </w:rPr>
        <w:t xml:space="preserve"> These ornaments would make great gifts for the West Fork fans on your Christmas list! </w:t>
      </w:r>
    </w:p>
    <w:p w:rsidR="000557F1" w:rsidRDefault="000557F1" w:rsidP="000557F1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396"/>
        <w:gridCol w:w="2544"/>
        <w:gridCol w:w="4338"/>
      </w:tblGrid>
      <w:tr w:rsidR="000557F1" w:rsidTr="00F46E3A">
        <w:trPr>
          <w:cantSplit/>
          <w:trHeight w:val="2448"/>
        </w:trPr>
        <w:tc>
          <w:tcPr>
            <w:tcW w:w="738" w:type="dxa"/>
            <w:textDirection w:val="btLr"/>
          </w:tcPr>
          <w:p w:rsidR="000557F1" w:rsidRPr="001957D0" w:rsidRDefault="000557F1" w:rsidP="000557F1">
            <w:pPr>
              <w:ind w:left="113" w:right="113"/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Option A:</w:t>
            </w:r>
          </w:p>
        </w:tc>
        <w:tc>
          <w:tcPr>
            <w:tcW w:w="3396" w:type="dxa"/>
            <w:tcBorders>
              <w:right w:val="nil"/>
            </w:tcBorders>
            <w:vAlign w:val="center"/>
          </w:tcPr>
          <w:p w:rsidR="000557F1" w:rsidRPr="0046798B" w:rsidRDefault="007F72CA" w:rsidP="00907667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7F72CA">
              <w:rPr>
                <w:rFonts w:ascii="Papyrus" w:hAnsi="Papyrus"/>
                <w:noProof/>
                <w:sz w:val="32"/>
                <w:szCs w:val="32"/>
              </w:rPr>
              <w:drawing>
                <wp:inline distT="0" distB="0" distL="0" distR="0">
                  <wp:extent cx="1585578" cy="1828800"/>
                  <wp:effectExtent l="19050" t="0" r="0" b="0"/>
                  <wp:docPr id="3" name="Picture 1" descr="C:\Users\Meints\Pictures\WF LOGO\2014_11_12\Logo - music 11-12-14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nts\Pictures\WF LOGO\2014_11_12\Logo - music 11-12-14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4977" b="24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78" cy="18288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left w:val="nil"/>
            </w:tcBorders>
          </w:tcPr>
          <w:p w:rsidR="007F72CA" w:rsidRPr="0046798B" w:rsidRDefault="007F72CA" w:rsidP="007F72CA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7F72CA">
              <w:rPr>
                <w:rFonts w:ascii="Papyrus" w:hAnsi="Papyrus"/>
                <w:noProof/>
                <w:sz w:val="32"/>
                <w:szCs w:val="32"/>
              </w:rPr>
              <w:drawing>
                <wp:inline distT="0" distB="0" distL="0" distR="0">
                  <wp:extent cx="1430386" cy="1828800"/>
                  <wp:effectExtent l="19050" t="0" r="0" b="0"/>
                  <wp:docPr id="5" name="Picture 1" descr="C:\Users\Meints\Pictures\WF LOGO\2014_11_12\Logo - music 11-12-14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nts\Pictures\WF LOGO\2014_11_12\Logo - music 11-12-14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85" r="26460" b="34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86" cy="18288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vAlign w:val="center"/>
          </w:tcPr>
          <w:p w:rsidR="007F72CA" w:rsidRDefault="000557F1" w:rsidP="00F46E3A">
            <w:pPr>
              <w:rPr>
                <w:rFonts w:ascii="Papyrus" w:hAnsi="Papyrus"/>
                <w:sz w:val="28"/>
                <w:szCs w:val="28"/>
              </w:rPr>
            </w:pPr>
            <w:r w:rsidRPr="008805D4">
              <w:rPr>
                <w:rFonts w:ascii="Papyrus" w:hAnsi="Papyrus"/>
                <w:sz w:val="28"/>
                <w:szCs w:val="28"/>
              </w:rPr>
              <w:t xml:space="preserve">Option A: These ornaments are printed with the logo on one side and West Fork </w:t>
            </w:r>
            <w:proofErr w:type="spellStart"/>
            <w:r w:rsidRPr="008805D4">
              <w:rPr>
                <w:rFonts w:ascii="Papyrus" w:hAnsi="Papyrus"/>
                <w:sz w:val="28"/>
                <w:szCs w:val="28"/>
              </w:rPr>
              <w:t>Warhawks</w:t>
            </w:r>
            <w:proofErr w:type="spellEnd"/>
            <w:r w:rsidRPr="008805D4">
              <w:rPr>
                <w:rFonts w:ascii="Papyrus" w:hAnsi="Papyrus"/>
                <w:sz w:val="28"/>
                <w:szCs w:val="28"/>
              </w:rPr>
              <w:t xml:space="preserve"> on the other.</w:t>
            </w:r>
            <w:r w:rsidR="007F72CA">
              <w:rPr>
                <w:rFonts w:ascii="Papyrus" w:hAnsi="Papyrus"/>
                <w:sz w:val="28"/>
                <w:szCs w:val="28"/>
              </w:rPr>
              <w:t xml:space="preserve"> The bulbs are 3.25" around and shatterproof.</w:t>
            </w:r>
          </w:p>
          <w:p w:rsidR="008805D4" w:rsidRPr="00961E89" w:rsidRDefault="008805D4" w:rsidP="00F46E3A">
            <w:pPr>
              <w:rPr>
                <w:rFonts w:ascii="Papyrus" w:hAnsi="Papyrus"/>
                <w:b/>
                <w:sz w:val="32"/>
                <w:szCs w:val="32"/>
              </w:rPr>
            </w:pPr>
            <w:r w:rsidRPr="00961E89">
              <w:rPr>
                <w:rFonts w:ascii="Papyrus" w:hAnsi="Papyrus"/>
                <w:b/>
                <w:sz w:val="28"/>
                <w:szCs w:val="28"/>
              </w:rPr>
              <w:t>$8 each</w:t>
            </w:r>
          </w:p>
        </w:tc>
      </w:tr>
    </w:tbl>
    <w:p w:rsidR="001957D0" w:rsidRDefault="001957D0" w:rsidP="001957D0">
      <w:pPr>
        <w:rPr>
          <w:rFonts w:ascii="Papyrus" w:hAnsi="Papyrus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410"/>
        <w:gridCol w:w="5868"/>
      </w:tblGrid>
      <w:tr w:rsidR="000557F1" w:rsidTr="00F46E3A">
        <w:trPr>
          <w:cantSplit/>
          <w:trHeight w:val="2592"/>
        </w:trPr>
        <w:tc>
          <w:tcPr>
            <w:tcW w:w="738" w:type="dxa"/>
            <w:textDirection w:val="btLr"/>
          </w:tcPr>
          <w:p w:rsidR="000557F1" w:rsidRPr="001957D0" w:rsidRDefault="000557F1" w:rsidP="000557F1">
            <w:pPr>
              <w:ind w:left="113" w:right="113"/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Option B:</w:t>
            </w:r>
          </w:p>
        </w:tc>
        <w:tc>
          <w:tcPr>
            <w:tcW w:w="4410" w:type="dxa"/>
            <w:vAlign w:val="center"/>
          </w:tcPr>
          <w:p w:rsidR="000557F1" w:rsidRDefault="000557F1" w:rsidP="00907667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1957D0">
              <w:rPr>
                <w:rFonts w:ascii="Papyrus" w:hAnsi="Papyrus"/>
                <w:noProof/>
                <w:sz w:val="32"/>
                <w:szCs w:val="32"/>
              </w:rPr>
              <w:drawing>
                <wp:inline distT="0" distB="0" distL="0" distR="0">
                  <wp:extent cx="1551756" cy="1645920"/>
                  <wp:effectExtent l="19050" t="0" r="0" b="0"/>
                  <wp:docPr id="4" name="Picture 1" descr="C:\Users\Meints\Pictures\2014-11-08 ornament preview 3\ornament preview 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nts\Pictures\2014-11-08 ornament preview 3\ornament preview 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56" cy="16459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vAlign w:val="center"/>
          </w:tcPr>
          <w:p w:rsidR="000557F1" w:rsidRPr="00264909" w:rsidRDefault="000557F1" w:rsidP="00F46E3A">
            <w:pPr>
              <w:rPr>
                <w:rFonts w:ascii="Papyrus" w:hAnsi="Papyrus"/>
                <w:sz w:val="28"/>
                <w:szCs w:val="28"/>
              </w:rPr>
            </w:pPr>
            <w:r w:rsidRPr="00264909">
              <w:rPr>
                <w:rFonts w:ascii="Papyrus" w:hAnsi="Papyrus"/>
                <w:sz w:val="28"/>
                <w:szCs w:val="28"/>
              </w:rPr>
              <w:t>Option B:  These ornaments are printed on one side with the West Fork logo</w:t>
            </w:r>
            <w:r w:rsidR="00961E89">
              <w:rPr>
                <w:rFonts w:ascii="Papyrus" w:hAnsi="Papyrus"/>
                <w:sz w:val="28"/>
                <w:szCs w:val="28"/>
              </w:rPr>
              <w:t xml:space="preserve"> and West Fork </w:t>
            </w:r>
            <w:proofErr w:type="spellStart"/>
            <w:r w:rsidR="00961E89">
              <w:rPr>
                <w:rFonts w:ascii="Papyrus" w:hAnsi="Papyrus"/>
                <w:sz w:val="28"/>
                <w:szCs w:val="28"/>
              </w:rPr>
              <w:t>Warhawks</w:t>
            </w:r>
            <w:proofErr w:type="spellEnd"/>
            <w:r w:rsidRPr="00264909">
              <w:rPr>
                <w:rFonts w:ascii="Papyrus" w:hAnsi="Papyrus"/>
                <w:sz w:val="28"/>
                <w:szCs w:val="28"/>
              </w:rPr>
              <w:t>. The bulbs are about  3.25" around, shatterproof, and come individually boxed.</w:t>
            </w:r>
          </w:p>
          <w:p w:rsidR="00F46E3A" w:rsidRPr="00961E89" w:rsidRDefault="000557F1" w:rsidP="00F46E3A">
            <w:pPr>
              <w:rPr>
                <w:rFonts w:ascii="Papyrus" w:hAnsi="Papyrus"/>
                <w:b/>
                <w:sz w:val="28"/>
                <w:szCs w:val="28"/>
              </w:rPr>
            </w:pPr>
            <w:r w:rsidRPr="00961E89">
              <w:rPr>
                <w:rFonts w:ascii="Papyrus" w:hAnsi="Papyrus"/>
                <w:b/>
                <w:sz w:val="28"/>
                <w:szCs w:val="28"/>
              </w:rPr>
              <w:t>$</w:t>
            </w:r>
            <w:r w:rsidR="003B2F1F" w:rsidRPr="00961E89">
              <w:rPr>
                <w:rFonts w:ascii="Papyrus" w:hAnsi="Papyrus"/>
                <w:b/>
                <w:sz w:val="28"/>
                <w:szCs w:val="28"/>
              </w:rPr>
              <w:t>6</w:t>
            </w:r>
            <w:r w:rsidRPr="00961E89">
              <w:rPr>
                <w:rFonts w:ascii="Papyrus" w:hAnsi="Papyrus"/>
                <w:b/>
                <w:sz w:val="28"/>
                <w:szCs w:val="28"/>
              </w:rPr>
              <w:t xml:space="preserve"> each</w:t>
            </w:r>
          </w:p>
        </w:tc>
      </w:tr>
    </w:tbl>
    <w:p w:rsidR="00961E89" w:rsidRDefault="00961E89" w:rsidP="00961E89">
      <w:pPr>
        <w:pStyle w:val="ListParagraph"/>
        <w:spacing w:after="0" w:line="240" w:lineRule="auto"/>
        <w:rPr>
          <w:sz w:val="24"/>
          <w:szCs w:val="24"/>
        </w:rPr>
      </w:pPr>
    </w:p>
    <w:p w:rsidR="00B43C71" w:rsidRPr="00F46E3A" w:rsidRDefault="00B43C71" w:rsidP="008D66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E3A">
        <w:rPr>
          <w:sz w:val="24"/>
          <w:szCs w:val="24"/>
        </w:rPr>
        <w:t xml:space="preserve">Orders placed </w:t>
      </w:r>
      <w:r w:rsidRPr="00961E89">
        <w:rPr>
          <w:sz w:val="24"/>
          <w:szCs w:val="24"/>
        </w:rPr>
        <w:t xml:space="preserve">by Nov. </w:t>
      </w:r>
      <w:r w:rsidR="008A18E4">
        <w:rPr>
          <w:sz w:val="24"/>
          <w:szCs w:val="24"/>
        </w:rPr>
        <w:t>21</w:t>
      </w:r>
      <w:r w:rsidRPr="00F46E3A">
        <w:rPr>
          <w:sz w:val="24"/>
          <w:szCs w:val="24"/>
        </w:rPr>
        <w:t xml:space="preserve"> will delivered before Thanksgiving Break.</w:t>
      </w:r>
    </w:p>
    <w:p w:rsidR="00B43C71" w:rsidRPr="00F46E3A" w:rsidRDefault="00B43C71" w:rsidP="008D66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E3A">
        <w:rPr>
          <w:sz w:val="24"/>
          <w:szCs w:val="24"/>
        </w:rPr>
        <w:t>Final date to order</w:t>
      </w:r>
      <w:r w:rsidR="0046798B" w:rsidRPr="00F46E3A">
        <w:rPr>
          <w:sz w:val="24"/>
          <w:szCs w:val="24"/>
        </w:rPr>
        <w:t xml:space="preserve"> to receive before Christmas Break</w:t>
      </w:r>
      <w:r w:rsidRPr="00F46E3A">
        <w:rPr>
          <w:sz w:val="24"/>
          <w:szCs w:val="24"/>
        </w:rPr>
        <w:t xml:space="preserve"> is Dec</w:t>
      </w:r>
      <w:r w:rsidR="0046798B" w:rsidRPr="00F46E3A">
        <w:rPr>
          <w:sz w:val="24"/>
          <w:szCs w:val="24"/>
        </w:rPr>
        <w:t>.</w:t>
      </w:r>
      <w:r w:rsidRPr="00F46E3A">
        <w:rPr>
          <w:sz w:val="24"/>
          <w:szCs w:val="24"/>
        </w:rPr>
        <w:t xml:space="preserve"> 12.</w:t>
      </w:r>
    </w:p>
    <w:p w:rsidR="002924B5" w:rsidRPr="00F46E3A" w:rsidRDefault="00A00097" w:rsidP="008D66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E3A">
        <w:rPr>
          <w:sz w:val="24"/>
          <w:szCs w:val="24"/>
        </w:rPr>
        <w:t xml:space="preserve">Return order forms to </w:t>
      </w:r>
      <w:r w:rsidR="001464BB" w:rsidRPr="00F46E3A">
        <w:rPr>
          <w:sz w:val="24"/>
          <w:szCs w:val="24"/>
        </w:rPr>
        <w:t>school offices</w:t>
      </w:r>
      <w:r w:rsidRPr="00F46E3A">
        <w:rPr>
          <w:sz w:val="24"/>
          <w:szCs w:val="24"/>
        </w:rPr>
        <w:t xml:space="preserve"> in Rockwell or Sheffield.</w:t>
      </w:r>
      <w:r w:rsidR="00961E89">
        <w:rPr>
          <w:sz w:val="24"/>
          <w:szCs w:val="24"/>
        </w:rPr>
        <w:t xml:space="preserve"> Payment is due with your order.</w:t>
      </w:r>
    </w:p>
    <w:p w:rsidR="00907667" w:rsidRPr="00F46E3A" w:rsidRDefault="00907667" w:rsidP="008D66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6E3A">
        <w:rPr>
          <w:sz w:val="24"/>
          <w:szCs w:val="24"/>
        </w:rPr>
        <w:t xml:space="preserve">Checks payable to:  </w:t>
      </w:r>
      <w:r w:rsidR="00754BCE" w:rsidRPr="00F46E3A">
        <w:rPr>
          <w:sz w:val="24"/>
          <w:szCs w:val="24"/>
          <w:u w:val="single"/>
        </w:rPr>
        <w:t>WF Music Boosters/FB Backers</w:t>
      </w:r>
    </w:p>
    <w:p w:rsidR="004D2759" w:rsidRDefault="004D2759" w:rsidP="004D2759">
      <w:pPr>
        <w:spacing w:after="0" w:line="240" w:lineRule="auto"/>
        <w:rPr>
          <w:sz w:val="28"/>
          <w:szCs w:val="28"/>
        </w:rPr>
      </w:pPr>
    </w:p>
    <w:p w:rsidR="00F46E3A" w:rsidRPr="00907667" w:rsidRDefault="00F46E3A" w:rsidP="004D2759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1560"/>
        <w:gridCol w:w="1890"/>
        <w:gridCol w:w="2610"/>
        <w:gridCol w:w="1875"/>
      </w:tblGrid>
      <w:tr w:rsidR="002724C8" w:rsidRPr="00264909" w:rsidTr="0046798B">
        <w:trPr>
          <w:jc w:val="center"/>
        </w:trPr>
        <w:tc>
          <w:tcPr>
            <w:tcW w:w="1560" w:type="dxa"/>
            <w:vAlign w:val="center"/>
          </w:tcPr>
          <w:p w:rsidR="002724C8" w:rsidRPr="00F76B7B" w:rsidRDefault="0046798B" w:rsidP="00467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bulbs</w:t>
            </w:r>
            <w:r w:rsidR="002724C8" w:rsidRPr="00F76B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90" w:type="dxa"/>
            <w:vAlign w:val="center"/>
          </w:tcPr>
          <w:p w:rsidR="002724C8" w:rsidRPr="00F76B7B" w:rsidRDefault="002724C8" w:rsidP="0046798B">
            <w:pPr>
              <w:jc w:val="center"/>
              <w:rPr>
                <w:b/>
                <w:sz w:val="28"/>
                <w:szCs w:val="28"/>
              </w:rPr>
            </w:pPr>
            <w:r w:rsidRPr="00F76B7B">
              <w:rPr>
                <w:b/>
                <w:sz w:val="28"/>
                <w:szCs w:val="28"/>
              </w:rPr>
              <w:t>Option</w:t>
            </w:r>
          </w:p>
        </w:tc>
        <w:tc>
          <w:tcPr>
            <w:tcW w:w="2610" w:type="dxa"/>
            <w:vAlign w:val="center"/>
          </w:tcPr>
          <w:p w:rsidR="002724C8" w:rsidRPr="00F76B7B" w:rsidRDefault="002724C8" w:rsidP="0046798B">
            <w:pPr>
              <w:jc w:val="center"/>
              <w:rPr>
                <w:b/>
                <w:sz w:val="28"/>
                <w:szCs w:val="28"/>
              </w:rPr>
            </w:pPr>
            <w:r w:rsidRPr="00F76B7B">
              <w:rPr>
                <w:b/>
                <w:sz w:val="28"/>
                <w:szCs w:val="28"/>
              </w:rPr>
              <w:t>Price each</w:t>
            </w:r>
          </w:p>
        </w:tc>
        <w:tc>
          <w:tcPr>
            <w:tcW w:w="1875" w:type="dxa"/>
            <w:vAlign w:val="center"/>
          </w:tcPr>
          <w:p w:rsidR="002724C8" w:rsidRPr="00F76B7B" w:rsidRDefault="002724C8" w:rsidP="0046798B">
            <w:pPr>
              <w:jc w:val="center"/>
              <w:rPr>
                <w:b/>
                <w:sz w:val="28"/>
                <w:szCs w:val="28"/>
              </w:rPr>
            </w:pPr>
            <w:r w:rsidRPr="00F76B7B">
              <w:rPr>
                <w:b/>
                <w:sz w:val="28"/>
                <w:szCs w:val="28"/>
              </w:rPr>
              <w:t>Total</w:t>
            </w:r>
          </w:p>
        </w:tc>
      </w:tr>
      <w:tr w:rsidR="002724C8" w:rsidRPr="00264909" w:rsidTr="0046798B">
        <w:trPr>
          <w:jc w:val="center"/>
        </w:trPr>
        <w:tc>
          <w:tcPr>
            <w:tcW w:w="1560" w:type="dxa"/>
          </w:tcPr>
          <w:p w:rsidR="002724C8" w:rsidRPr="00F76B7B" w:rsidRDefault="002724C8" w:rsidP="004D2759">
            <w:pPr>
              <w:rPr>
                <w:b/>
                <w:sz w:val="28"/>
                <w:szCs w:val="28"/>
              </w:rPr>
            </w:pPr>
            <w:r w:rsidRPr="00F76B7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90" w:type="dxa"/>
          </w:tcPr>
          <w:p w:rsidR="002724C8" w:rsidRPr="00F76B7B" w:rsidRDefault="002724C8" w:rsidP="004D2759">
            <w:pPr>
              <w:rPr>
                <w:sz w:val="28"/>
                <w:szCs w:val="28"/>
              </w:rPr>
            </w:pPr>
            <w:r w:rsidRPr="00F76B7B">
              <w:rPr>
                <w:sz w:val="28"/>
                <w:szCs w:val="28"/>
              </w:rPr>
              <w:t>A- two sided</w:t>
            </w:r>
          </w:p>
        </w:tc>
        <w:tc>
          <w:tcPr>
            <w:tcW w:w="2610" w:type="dxa"/>
          </w:tcPr>
          <w:p w:rsidR="002724C8" w:rsidRPr="00F76B7B" w:rsidRDefault="00961E89" w:rsidP="004D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</w:t>
            </w:r>
            <w:r w:rsidR="002724C8" w:rsidRPr="00F76B7B">
              <w:rPr>
                <w:sz w:val="28"/>
                <w:szCs w:val="28"/>
              </w:rPr>
              <w:t>$8 each</w:t>
            </w:r>
          </w:p>
        </w:tc>
        <w:tc>
          <w:tcPr>
            <w:tcW w:w="1875" w:type="dxa"/>
          </w:tcPr>
          <w:p w:rsidR="002724C8" w:rsidRPr="00F76B7B" w:rsidRDefault="002724C8" w:rsidP="004D2759">
            <w:pPr>
              <w:rPr>
                <w:sz w:val="28"/>
                <w:szCs w:val="28"/>
              </w:rPr>
            </w:pPr>
          </w:p>
        </w:tc>
      </w:tr>
      <w:tr w:rsidR="002724C8" w:rsidRPr="00264909" w:rsidTr="0046798B">
        <w:trPr>
          <w:jc w:val="center"/>
        </w:trPr>
        <w:tc>
          <w:tcPr>
            <w:tcW w:w="1560" w:type="dxa"/>
          </w:tcPr>
          <w:p w:rsidR="002724C8" w:rsidRPr="00F76B7B" w:rsidRDefault="002724C8" w:rsidP="004D2759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724C8" w:rsidRPr="00F76B7B" w:rsidRDefault="002724C8" w:rsidP="004D2759">
            <w:pPr>
              <w:rPr>
                <w:sz w:val="28"/>
                <w:szCs w:val="28"/>
              </w:rPr>
            </w:pPr>
            <w:r w:rsidRPr="00F76B7B">
              <w:rPr>
                <w:sz w:val="28"/>
                <w:szCs w:val="28"/>
              </w:rPr>
              <w:t>B-single sided</w:t>
            </w:r>
          </w:p>
        </w:tc>
        <w:tc>
          <w:tcPr>
            <w:tcW w:w="2610" w:type="dxa"/>
          </w:tcPr>
          <w:p w:rsidR="002724C8" w:rsidRPr="00F76B7B" w:rsidRDefault="00961E89" w:rsidP="0059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</w:t>
            </w:r>
            <w:r w:rsidR="005975B7">
              <w:rPr>
                <w:sz w:val="28"/>
                <w:szCs w:val="28"/>
              </w:rPr>
              <w:t>$</w:t>
            </w:r>
            <w:r w:rsidR="003B2F1F">
              <w:rPr>
                <w:sz w:val="28"/>
                <w:szCs w:val="28"/>
              </w:rPr>
              <w:t>6</w:t>
            </w:r>
            <w:r w:rsidR="002724C8" w:rsidRPr="00F76B7B">
              <w:rPr>
                <w:sz w:val="28"/>
                <w:szCs w:val="28"/>
              </w:rPr>
              <w:t xml:space="preserve"> each</w:t>
            </w:r>
          </w:p>
        </w:tc>
        <w:tc>
          <w:tcPr>
            <w:tcW w:w="1875" w:type="dxa"/>
          </w:tcPr>
          <w:p w:rsidR="002724C8" w:rsidRPr="00F76B7B" w:rsidRDefault="002724C8" w:rsidP="004D2759">
            <w:pPr>
              <w:rPr>
                <w:sz w:val="28"/>
                <w:szCs w:val="28"/>
              </w:rPr>
            </w:pPr>
          </w:p>
        </w:tc>
      </w:tr>
      <w:tr w:rsidR="002724C8" w:rsidRPr="00264909" w:rsidTr="0046798B">
        <w:trPr>
          <w:jc w:val="center"/>
        </w:trPr>
        <w:tc>
          <w:tcPr>
            <w:tcW w:w="6060" w:type="dxa"/>
            <w:gridSpan w:val="3"/>
            <w:vAlign w:val="center"/>
          </w:tcPr>
          <w:p w:rsidR="002724C8" w:rsidRPr="00F76B7B" w:rsidRDefault="002724C8" w:rsidP="002724C8">
            <w:pPr>
              <w:jc w:val="right"/>
              <w:rPr>
                <w:sz w:val="32"/>
                <w:szCs w:val="32"/>
              </w:rPr>
            </w:pPr>
            <w:r w:rsidRPr="00F76B7B">
              <w:rPr>
                <w:sz w:val="32"/>
                <w:szCs w:val="32"/>
              </w:rPr>
              <w:t>Grand Total</w:t>
            </w:r>
          </w:p>
        </w:tc>
        <w:tc>
          <w:tcPr>
            <w:tcW w:w="1875" w:type="dxa"/>
          </w:tcPr>
          <w:p w:rsidR="002724C8" w:rsidRPr="00F76B7B" w:rsidRDefault="002724C8" w:rsidP="004D2759">
            <w:pPr>
              <w:rPr>
                <w:sz w:val="32"/>
                <w:szCs w:val="32"/>
              </w:rPr>
            </w:pPr>
            <w:r w:rsidRPr="00F76B7B">
              <w:rPr>
                <w:sz w:val="32"/>
                <w:szCs w:val="32"/>
              </w:rPr>
              <w:t>$</w:t>
            </w:r>
          </w:p>
        </w:tc>
      </w:tr>
    </w:tbl>
    <w:p w:rsidR="00DE486F" w:rsidRDefault="00DE486F" w:rsidP="004D2759">
      <w:pPr>
        <w:spacing w:after="0" w:line="240" w:lineRule="auto"/>
        <w:rPr>
          <w:sz w:val="16"/>
          <w:szCs w:val="16"/>
        </w:rPr>
      </w:pPr>
    </w:p>
    <w:p w:rsidR="00F46E3A" w:rsidRDefault="00F46E3A" w:rsidP="004D2759">
      <w:pPr>
        <w:spacing w:after="0" w:line="240" w:lineRule="auto"/>
        <w:rPr>
          <w:sz w:val="16"/>
          <w:szCs w:val="16"/>
        </w:rPr>
      </w:pPr>
    </w:p>
    <w:p w:rsidR="00F46E3A" w:rsidRPr="00264909" w:rsidRDefault="00F46E3A" w:rsidP="004D2759">
      <w:pPr>
        <w:spacing w:after="0" w:line="240" w:lineRule="auto"/>
        <w:rPr>
          <w:sz w:val="16"/>
          <w:szCs w:val="16"/>
        </w:rPr>
      </w:pPr>
    </w:p>
    <w:p w:rsidR="00634C9B" w:rsidRPr="00264909" w:rsidRDefault="00634C9B" w:rsidP="004D275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E486F" w:rsidRPr="00264909" w:rsidTr="00634C9B">
        <w:trPr>
          <w:trHeight w:val="576"/>
        </w:trPr>
        <w:tc>
          <w:tcPr>
            <w:tcW w:w="11016" w:type="dxa"/>
            <w:gridSpan w:val="2"/>
            <w:vAlign w:val="bottom"/>
          </w:tcPr>
          <w:p w:rsidR="00DE486F" w:rsidRPr="00F76B7B" w:rsidRDefault="00DE486F" w:rsidP="005A4E86">
            <w:pPr>
              <w:rPr>
                <w:b/>
                <w:sz w:val="24"/>
                <w:szCs w:val="24"/>
              </w:rPr>
            </w:pPr>
            <w:r w:rsidRPr="00F76B7B">
              <w:rPr>
                <w:b/>
                <w:sz w:val="24"/>
                <w:szCs w:val="24"/>
              </w:rPr>
              <w:t>Name</w:t>
            </w:r>
            <w:r w:rsidR="00264909" w:rsidRPr="00F76B7B">
              <w:rPr>
                <w:b/>
                <w:sz w:val="24"/>
                <w:szCs w:val="24"/>
              </w:rPr>
              <w:t xml:space="preserve"> (Student's name if delivering to student)</w:t>
            </w:r>
            <w:r w:rsidRPr="00F76B7B">
              <w:rPr>
                <w:b/>
                <w:sz w:val="24"/>
                <w:szCs w:val="24"/>
              </w:rPr>
              <w:t>:</w:t>
            </w:r>
          </w:p>
        </w:tc>
      </w:tr>
      <w:tr w:rsidR="00264909" w:rsidRPr="00264909" w:rsidTr="008422C9">
        <w:trPr>
          <w:trHeight w:val="576"/>
        </w:trPr>
        <w:tc>
          <w:tcPr>
            <w:tcW w:w="5508" w:type="dxa"/>
            <w:vAlign w:val="bottom"/>
          </w:tcPr>
          <w:p w:rsidR="00264909" w:rsidRPr="00F76B7B" w:rsidRDefault="00264909" w:rsidP="005A4E86">
            <w:pPr>
              <w:rPr>
                <w:b/>
                <w:sz w:val="24"/>
                <w:szCs w:val="24"/>
              </w:rPr>
            </w:pPr>
            <w:r w:rsidRPr="00F76B7B"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5508" w:type="dxa"/>
            <w:vAlign w:val="bottom"/>
          </w:tcPr>
          <w:p w:rsidR="00264909" w:rsidRPr="00F76B7B" w:rsidRDefault="00264909" w:rsidP="005A4E86">
            <w:pPr>
              <w:rPr>
                <w:b/>
                <w:sz w:val="24"/>
                <w:szCs w:val="24"/>
              </w:rPr>
            </w:pPr>
            <w:r w:rsidRPr="00F76B7B">
              <w:rPr>
                <w:b/>
                <w:sz w:val="24"/>
                <w:szCs w:val="24"/>
              </w:rPr>
              <w:t>Student's Grade:</w:t>
            </w:r>
          </w:p>
        </w:tc>
      </w:tr>
    </w:tbl>
    <w:p w:rsidR="00235609" w:rsidRPr="00264909" w:rsidRDefault="00235609" w:rsidP="004D2759">
      <w:pPr>
        <w:spacing w:after="0" w:line="240" w:lineRule="auto"/>
        <w:rPr>
          <w:sz w:val="24"/>
          <w:szCs w:val="24"/>
        </w:rPr>
      </w:pPr>
      <w:r w:rsidRPr="00264909">
        <w:rPr>
          <w:sz w:val="24"/>
          <w:szCs w:val="24"/>
        </w:rPr>
        <w:t xml:space="preserve">Order by </w:t>
      </w:r>
      <w:r w:rsidR="00542ADE" w:rsidRPr="00264909">
        <w:rPr>
          <w:sz w:val="24"/>
          <w:szCs w:val="24"/>
        </w:rPr>
        <w:t xml:space="preserve">Nov. </w:t>
      </w:r>
      <w:r w:rsidR="008A18E4">
        <w:rPr>
          <w:sz w:val="24"/>
          <w:szCs w:val="24"/>
        </w:rPr>
        <w:t>21</w:t>
      </w:r>
      <w:r w:rsidR="00542ADE" w:rsidRPr="00264909">
        <w:rPr>
          <w:sz w:val="24"/>
          <w:szCs w:val="24"/>
        </w:rPr>
        <w:t xml:space="preserve"> </w:t>
      </w:r>
      <w:r w:rsidRPr="00264909">
        <w:rPr>
          <w:sz w:val="24"/>
          <w:szCs w:val="24"/>
        </w:rPr>
        <w:t xml:space="preserve"> to receive </w:t>
      </w:r>
      <w:r w:rsidR="00A04B8C" w:rsidRPr="00264909">
        <w:rPr>
          <w:sz w:val="24"/>
          <w:szCs w:val="24"/>
        </w:rPr>
        <w:t>by</w:t>
      </w:r>
      <w:r w:rsidR="005433C5" w:rsidRPr="00264909">
        <w:rPr>
          <w:sz w:val="24"/>
          <w:szCs w:val="24"/>
        </w:rPr>
        <w:t xml:space="preserve"> </w:t>
      </w:r>
      <w:r w:rsidR="004D2759" w:rsidRPr="00264909">
        <w:rPr>
          <w:sz w:val="24"/>
          <w:szCs w:val="24"/>
        </w:rPr>
        <w:t>Nov.</w:t>
      </w:r>
      <w:r w:rsidR="005433C5" w:rsidRPr="00264909">
        <w:rPr>
          <w:sz w:val="24"/>
          <w:szCs w:val="24"/>
        </w:rPr>
        <w:t xml:space="preserve"> 2</w:t>
      </w:r>
      <w:r w:rsidR="00542ADE" w:rsidRPr="00264909">
        <w:rPr>
          <w:sz w:val="24"/>
          <w:szCs w:val="24"/>
        </w:rPr>
        <w:t xml:space="preserve">6. Final day to order </w:t>
      </w:r>
      <w:r w:rsidR="00754BCE">
        <w:rPr>
          <w:sz w:val="24"/>
          <w:szCs w:val="24"/>
        </w:rPr>
        <w:t>to receive before Christmas</w:t>
      </w:r>
      <w:r w:rsidR="00961E89">
        <w:rPr>
          <w:sz w:val="24"/>
          <w:szCs w:val="24"/>
        </w:rPr>
        <w:t xml:space="preserve"> Break </w:t>
      </w:r>
      <w:r w:rsidR="00542ADE" w:rsidRPr="00264909">
        <w:rPr>
          <w:sz w:val="24"/>
          <w:szCs w:val="24"/>
        </w:rPr>
        <w:t>is Dec</w:t>
      </w:r>
      <w:r w:rsidR="0006568D" w:rsidRPr="00264909">
        <w:rPr>
          <w:sz w:val="24"/>
          <w:szCs w:val="24"/>
        </w:rPr>
        <w:t xml:space="preserve">. </w:t>
      </w:r>
      <w:r w:rsidR="00B43C71" w:rsidRPr="00264909">
        <w:rPr>
          <w:sz w:val="24"/>
          <w:szCs w:val="24"/>
        </w:rPr>
        <w:t>12. Thank you for support</w:t>
      </w:r>
      <w:r w:rsidR="008805D4">
        <w:rPr>
          <w:sz w:val="24"/>
          <w:szCs w:val="24"/>
        </w:rPr>
        <w:t>ing the Music Boosters and the Football Backers in this joint fundraiser</w:t>
      </w:r>
      <w:r w:rsidR="00B43C71" w:rsidRPr="00264909">
        <w:rPr>
          <w:sz w:val="24"/>
          <w:szCs w:val="24"/>
        </w:rPr>
        <w:t>!</w:t>
      </w:r>
    </w:p>
    <w:sectPr w:rsidR="00235609" w:rsidRPr="00264909" w:rsidSect="0026490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FEC"/>
    <w:multiLevelType w:val="hybridMultilevel"/>
    <w:tmpl w:val="744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24B5"/>
    <w:rsid w:val="000150EF"/>
    <w:rsid w:val="000557F1"/>
    <w:rsid w:val="0006568D"/>
    <w:rsid w:val="000860E5"/>
    <w:rsid w:val="000B233A"/>
    <w:rsid w:val="001464BB"/>
    <w:rsid w:val="00192711"/>
    <w:rsid w:val="001957D0"/>
    <w:rsid w:val="00223314"/>
    <w:rsid w:val="00235609"/>
    <w:rsid w:val="00264909"/>
    <w:rsid w:val="002724C8"/>
    <w:rsid w:val="002924B5"/>
    <w:rsid w:val="00324F86"/>
    <w:rsid w:val="003B2F1F"/>
    <w:rsid w:val="00430C15"/>
    <w:rsid w:val="00434900"/>
    <w:rsid w:val="0046798B"/>
    <w:rsid w:val="004D2759"/>
    <w:rsid w:val="004E076B"/>
    <w:rsid w:val="00507F11"/>
    <w:rsid w:val="00530D2D"/>
    <w:rsid w:val="00542ADE"/>
    <w:rsid w:val="005433C5"/>
    <w:rsid w:val="0056549B"/>
    <w:rsid w:val="00583326"/>
    <w:rsid w:val="005975B7"/>
    <w:rsid w:val="005A4E86"/>
    <w:rsid w:val="005F187C"/>
    <w:rsid w:val="00627E94"/>
    <w:rsid w:val="00634C9B"/>
    <w:rsid w:val="00637EB8"/>
    <w:rsid w:val="00754BCE"/>
    <w:rsid w:val="007F72CA"/>
    <w:rsid w:val="00817D0F"/>
    <w:rsid w:val="008805D4"/>
    <w:rsid w:val="008A18E4"/>
    <w:rsid w:val="008D6648"/>
    <w:rsid w:val="00907667"/>
    <w:rsid w:val="00961E89"/>
    <w:rsid w:val="00A00097"/>
    <w:rsid w:val="00A04B8C"/>
    <w:rsid w:val="00B43C71"/>
    <w:rsid w:val="00B7722E"/>
    <w:rsid w:val="00B92AB5"/>
    <w:rsid w:val="00BC5CCA"/>
    <w:rsid w:val="00C3598F"/>
    <w:rsid w:val="00C67753"/>
    <w:rsid w:val="00CE4161"/>
    <w:rsid w:val="00DB13A0"/>
    <w:rsid w:val="00DC224B"/>
    <w:rsid w:val="00DE486F"/>
    <w:rsid w:val="00E06584"/>
    <w:rsid w:val="00E344F4"/>
    <w:rsid w:val="00E3650F"/>
    <w:rsid w:val="00F46E3A"/>
    <w:rsid w:val="00F76B7B"/>
    <w:rsid w:val="00F9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Meints</dc:creator>
  <cp:lastModifiedBy>Meints</cp:lastModifiedBy>
  <cp:revision>29</cp:revision>
  <cp:lastPrinted>2014-11-13T03:45:00Z</cp:lastPrinted>
  <dcterms:created xsi:type="dcterms:W3CDTF">2014-11-04T03:47:00Z</dcterms:created>
  <dcterms:modified xsi:type="dcterms:W3CDTF">2014-11-13T04:06:00Z</dcterms:modified>
</cp:coreProperties>
</file>